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4812B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61954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44D1C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bookmarkStart w:id="1" w:name="_GoBack"/>
      <w:bookmarkStart w:id="0" w:name="OLE_LINK23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DeepSeek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等AI工具在企业应用的有关案例</w:t>
      </w:r>
      <w:bookmarkEnd w:id="0"/>
    </w:p>
    <w:bookmarkEnd w:id="1"/>
    <w:p w14:paraId="43155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6256B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‌案例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：某省级产业投资集团AI驱动业务流程重塑‌</w:t>
      </w:r>
    </w:p>
    <w:p w14:paraId="17FBF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‌项目背景‌</w:t>
      </w:r>
    </w:p>
    <w:p w14:paraId="3366D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集团作为省级重点产业投资平台，年均需审核投资项目超2000个，涉及新能源、高端制造等多个领域。传统模式下，项目筛选依赖人工尽调，存在效率低（平均单项目评估周期45天）、风险误判率高等痛点，年度因人工疏漏导致的投资损失约3.7亿元。</w:t>
      </w:r>
    </w:p>
    <w:p w14:paraId="52149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‌实施路径‌</w:t>
      </w:r>
    </w:p>
    <w:p w14:paraId="2A869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‌数据治理与知识库构建‌</w:t>
      </w:r>
    </w:p>
    <w:p w14:paraId="6C8F4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清洗历史投资数据12万条，构建涵盖政策、产业链、企业信用等9维度的结构化数据库，并通过NLP技术提取非结构化数据（如招股书、行业报告）关键指标，数据可用率从62%提升至91%。</w:t>
      </w:r>
    </w:p>
    <w:p w14:paraId="48881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建立动态知识图谱，关联产业链上下游企业5000+节点，实时同步市场波动、政策变动等信息。</w:t>
      </w:r>
    </w:p>
    <w:p w14:paraId="7999C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‌AI模型开发与验证‌</w:t>
      </w:r>
    </w:p>
    <w:p w14:paraId="7A12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‌智能初筛模型‌：基于随机森林算法，对项目合规性、财务健康度等15项指标自动打分，初筛效率提升至5分钟/项目，误判率控制在3%以内。</w:t>
      </w:r>
    </w:p>
    <w:p w14:paraId="64BB4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‌风险评估模型‌：融合舆情监测与供应链数据，预测项目潜在风险（如政策调整、技术替代），模型准确率达89%（较人工提升42%）。</w:t>
      </w:r>
    </w:p>
    <w:p w14:paraId="0D349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‌投后管理模块‌：通过AI实时跟踪被投企业经营数据，触发预警阈值（如资产负债率&gt;70%）时自动推送风险报告。</w:t>
      </w:r>
    </w:p>
    <w:p w14:paraId="3F1BD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‌系统落地与流程重构‌</w:t>
      </w:r>
    </w:p>
    <w:p w14:paraId="0FDBC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开发“AI投资决策平台”，实现“智能初筛→人工尽调→投决会审议”三阶段协同，关键流程如下：</w:t>
      </w:r>
    </w:p>
    <w:p w14:paraId="29D2A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流程图：传统流程45天→AI初筛缩短至3天→人工尽调压缩至10天→投决会效率提升60%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引入低代码工具，业务人员可自主配置规则（如设置“新能源项目需满足碳排放强度≤行业均值”）</w:t>
      </w:r>
    </w:p>
    <w:p w14:paraId="42387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‌效益提升‌</w:t>
      </w:r>
    </w:p>
    <w:tbl>
      <w:tblPr>
        <w:tblStyle w:val="3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1410"/>
        <w:gridCol w:w="1410"/>
        <w:gridCol w:w="1580"/>
      </w:tblGrid>
      <w:tr w14:paraId="2D06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39D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指标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01D3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改造前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14C8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改造后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5BA1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提升幅度</w:t>
            </w:r>
          </w:p>
        </w:tc>
      </w:tr>
      <w:tr w14:paraId="21DA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0FE39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单项目评估周期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64E0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45天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6B9DA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18天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41F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60%</w:t>
            </w:r>
          </w:p>
        </w:tc>
      </w:tr>
      <w:tr w14:paraId="16E4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EEF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年度投资损失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3DE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3.7亿元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0B62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0.8亿元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B45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78.4%</w:t>
            </w:r>
          </w:p>
        </w:tc>
      </w:tr>
      <w:tr w14:paraId="7AF1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C181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人工尽调工作量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183F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51FDB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30%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8CD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70%</w:t>
            </w:r>
          </w:p>
        </w:tc>
      </w:tr>
      <w:tr w14:paraId="6EFB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5FB1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优质项目发现率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1D1BA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22%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1183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41%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79E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86.4%</w:t>
            </w:r>
          </w:p>
        </w:tc>
      </w:tr>
    </w:tbl>
    <w:p w14:paraId="4F28C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‌可复制经验‌</w:t>
      </w:r>
    </w:p>
    <w:p w14:paraId="7F550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‌混合决策机制‌：AI初筛覆盖80%标准化项目，复杂项目保留“AI建议+专家复核”双轨制，平衡效率与风险。</w:t>
      </w:r>
    </w:p>
    <w:p w14:paraId="06BCB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‌动态优化闭环‌：每季度更新模型训练数据，结合投资结果反馈优化算法（如调整政策权重系数）。</w:t>
      </w:r>
    </w:p>
    <w:p w14:paraId="67BD5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‌组织适配改革‌：设立“数字投资部”，培养“业务+数据”复合型团队，确保技术落地与业务需求深度耦合。</w:t>
      </w:r>
    </w:p>
    <w:p w14:paraId="1D0C7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‌创新价值‌：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通过AI工具实现从“经验驱动”到“数据驱动”的转型，为国企产业投资提供了“精准筛选-动态风控-持续增值”的全周期解决方案。</w:t>
      </w:r>
    </w:p>
    <w:p w14:paraId="24872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案例二：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某省级高端装备制造集团AI驱动全流程重塑案例</w:t>
      </w:r>
    </w:p>
    <w:p w14:paraId="5F845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（基于‌奥金精密‌战略转型实践，整合工业AI技术应用）</w:t>
      </w:r>
    </w:p>
    <w:p w14:paraId="484B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ABE4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一、战略布局与实施架构</w:t>
      </w:r>
    </w:p>
    <w:p w14:paraId="267C1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‌战略定位‌</w:t>
      </w:r>
    </w:p>
    <w:p w14:paraId="44EA7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提出“AI+场景化制造”战略，聚焦医疗器械、新能源汽车等新兴领域，通过AI技术挖掘产品新应用场景，实现从“规模生产”向“场景定制”转型。</w:t>
      </w:r>
    </w:p>
    <w:p w14:paraId="36EA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成立AI创新中心，联合领驭科技、鸿翼等企业构建工业大模型生态联盟，重点突破微型精密器件制造工艺优化难题。</w:t>
      </w:r>
    </w:p>
    <w:p w14:paraId="1EC5B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‌技术底座建设‌</w:t>
      </w:r>
    </w:p>
    <w:p w14:paraId="7B57D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部署DeepSeek工业智能平台，集成流程自动化引擎（RPA）、知识图谱与预测性维护模型，实现ERP、MES、PLM系统数据实时交互。</w:t>
      </w:r>
    </w:p>
    <w:p w14:paraId="1E33A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构建面向医疗器械领域的专用大模型，训练数据覆盖20万条手术场景参数、5万种材料力学特性指标。</w:t>
      </w:r>
    </w:p>
    <w:p w14:paraId="3C1B9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二、核心业务场景AI重塑实践</w:t>
      </w:r>
    </w:p>
    <w:p w14:paraId="1E756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‌智能生产优化‌</w:t>
      </w:r>
    </w:p>
    <w:p w14:paraId="355EC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‌设备健康管理‌：在精密弹簧产线部署振动传感器与热成像仪，通过时序预测模型提前48小时预警设备故障，故障停机时间减少72%，年节约维护成本超3000万元。</w:t>
      </w:r>
    </w:p>
    <w:p w14:paraId="42DF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‌工艺参数动态调整‌：针对颅内手术器械用微型弹簧，应用强化学习算法实时优化热处理温度曲线，产品弹性模量偏差从±15%压缩至±3%，良品率提升至98.6%。</w:t>
      </w:r>
    </w:p>
    <w:p w14:paraId="51478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‌供应链智能调度‌</w:t>
      </w:r>
    </w:p>
    <w:p w14:paraId="1BB57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开发AI驱动的多级供应商协同系统，自动匹配全球5000家原材料供应商报价与交期数据，采购决策响应速度从72小时缩短至2小时，紧急订单满足率提升至95%。</w:t>
      </w:r>
    </w:p>
    <w:p w14:paraId="6C66B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应用生成式AI模拟运输路线与仓储配置，物流成本降低18%，库存周转率提升40%。</w:t>
      </w:r>
    </w:p>
    <w:p w14:paraId="76B43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‌研发流程再造‌</w:t>
      </w:r>
    </w:p>
    <w:p w14:paraId="67548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基于医疗场景知识图谱，自动生成手术器械弹簧的力学性能需求清单，新产品研发周期从12个月压缩至4个月。</w:t>
      </w:r>
    </w:p>
    <w:p w14:paraId="5D5B0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利用数字孪生技术构建虚拟测试环境，开发阶段物理样件制作减少60%，研发成本降低45%。</w:t>
      </w:r>
    </w:p>
    <w:p w14:paraId="16FA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‌质量控制升级‌</w:t>
      </w:r>
    </w:p>
    <w:p w14:paraId="1DFF6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部署显微视觉检测系统，通过对比3亿张缺陷样本图像，实现0.01mm级弹簧表面裂纹自动识别，检测效率较人工提升20倍。</w:t>
      </w:r>
    </w:p>
    <w:p w14:paraId="1576F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在新能源汽车电池连接件产线，应用声纹识别技术实时监控装配异常声响，质量事故发生率下降85%。</w:t>
      </w:r>
    </w:p>
    <w:p w14:paraId="2FA3C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三、效益提升成果</w:t>
      </w:r>
    </w:p>
    <w:tbl>
      <w:tblPr>
        <w:tblStyle w:val="3"/>
        <w:tblW w:w="9103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1855"/>
        <w:gridCol w:w="2241"/>
        <w:gridCol w:w="1330"/>
        <w:gridCol w:w="1730"/>
      </w:tblGrid>
      <w:tr w14:paraId="725E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4F95A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6E892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实施前（2023年）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135BE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实施后（2025年Q1）</w:t>
            </w: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459BA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提升幅度</w:t>
            </w:r>
          </w:p>
        </w:tc>
        <w:tc>
          <w:tcPr>
            <w:tcW w:w="16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75" w:type="dxa"/>
              <w:right w:w="160" w:type="dxa"/>
            </w:tcMar>
            <w:vAlign w:val="center"/>
          </w:tcPr>
          <w:p w14:paraId="1085C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数据来源</w:t>
            </w:r>
          </w:p>
        </w:tc>
      </w:tr>
      <w:tr w14:paraId="74E3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0AE38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主营业务毛利率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25618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22.3%</w:t>
            </w:r>
          </w:p>
        </w:tc>
        <w:tc>
          <w:tcPr>
            <w:tcW w:w="22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6530F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34.8%</w:t>
            </w:r>
          </w:p>
        </w:tc>
        <w:tc>
          <w:tcPr>
            <w:tcW w:w="13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1A13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+56%</w:t>
            </w:r>
          </w:p>
        </w:tc>
        <w:tc>
          <w:tcPr>
            <w:tcW w:w="168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1F14B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集团年报</w:t>
            </w:r>
          </w:p>
        </w:tc>
      </w:tr>
      <w:tr w14:paraId="1892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5F76A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万元产值能耗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2981A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0.38吨标煤</w:t>
            </w:r>
          </w:p>
        </w:tc>
        <w:tc>
          <w:tcPr>
            <w:tcW w:w="22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70831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0.24吨标煤</w:t>
            </w:r>
          </w:p>
        </w:tc>
        <w:tc>
          <w:tcPr>
            <w:tcW w:w="13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D7D4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-36.8%</w:t>
            </w:r>
          </w:p>
        </w:tc>
        <w:tc>
          <w:tcPr>
            <w:tcW w:w="168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2FC16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环保监测系统‌</w:t>
            </w:r>
          </w:p>
        </w:tc>
      </w:tr>
      <w:tr w14:paraId="6748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143BC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高附加值产品占比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5F568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35%</w:t>
            </w:r>
          </w:p>
        </w:tc>
        <w:tc>
          <w:tcPr>
            <w:tcW w:w="22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575A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62%</w:t>
            </w:r>
          </w:p>
        </w:tc>
        <w:tc>
          <w:tcPr>
            <w:tcW w:w="13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611A6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+77%</w:t>
            </w:r>
          </w:p>
        </w:tc>
        <w:tc>
          <w:tcPr>
            <w:tcW w:w="168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2867E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战略部报告</w:t>
            </w:r>
          </w:p>
        </w:tc>
      </w:tr>
      <w:tr w14:paraId="30D1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72A0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客户定制需求响应周期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1734F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45天</w:t>
            </w:r>
          </w:p>
        </w:tc>
        <w:tc>
          <w:tcPr>
            <w:tcW w:w="221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4F2FE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12天</w:t>
            </w:r>
          </w:p>
        </w:tc>
        <w:tc>
          <w:tcPr>
            <w:tcW w:w="130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318F9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-73.3%</w:t>
            </w:r>
          </w:p>
        </w:tc>
        <w:tc>
          <w:tcPr>
            <w:tcW w:w="168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05" w:type="dxa"/>
              <w:left w:w="160" w:type="dxa"/>
              <w:bottom w:w="105" w:type="dxa"/>
              <w:right w:w="160" w:type="dxa"/>
            </w:tcMar>
            <w:vAlign w:val="center"/>
          </w:tcPr>
          <w:p w14:paraId="7A930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客户服务系统‌</w:t>
            </w:r>
          </w:p>
        </w:tc>
      </w:tr>
    </w:tbl>
    <w:p w14:paraId="734A6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四、经验启示</w:t>
      </w:r>
    </w:p>
    <w:p w14:paraId="3F46C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（一）‌场景化突破路径‌：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优先选择医疗器械等强场景关联领域，通过AI技术建立“产品特性-临床需求”映射关系，实现跨界价值创造。</w:t>
      </w:r>
    </w:p>
    <w:p w14:paraId="7AAE7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（二）‌数据治理体系‌：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构建覆盖原材料特性、工艺参数、终端使用反馈的全生命周期数据湖，支撑AI模型的持续迭代优化。</w:t>
      </w:r>
    </w:p>
    <w:p w14:paraId="087E8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（三）‌组织能力重构‌：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培养“临床医学+材料工程+AI算法”复合型团队，设立专项激励机制推动场景化创新提案落地。</w:t>
      </w:r>
    </w:p>
    <w:p w14:paraId="0B836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该案例验证了传统制造企业通过AI技术穿透行业壁垒的可行性，其“场景定义产品”模式为装备制造业开辟了第二增长曲线。</w:t>
      </w:r>
    </w:p>
    <w:p w14:paraId="001805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70F19B-C5E3-401C-AB3C-313A2B95EF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608D703-C155-42F6-AC5F-9EF52F168C82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0617380-BAA5-4C5C-8E01-E88D0EB6AC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3DBAC2-14E9-45FF-AA08-024EE4F4E72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B9E72E0-DDF3-4411-96FB-A15613705B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94BF0"/>
    <w:rsid w:val="458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2025-06-05T07:38:00Z</dcterms:created>
  <dc:creator>lwk</dc:creator>
  <cp:lastModifiedBy>lwk</cp:lastModifiedBy>
  <dcterms:modified xsi:type="dcterms:W3CDTF">2025-06-05T07:38:34Z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D8B920BBBD9145F7B2AF7ABB185AD07D_11</vt:lpwstr>
  </property>
  <property fmtid="{D5CDD505-2E9C-101B-9397-08002B2CF9AE}" pid="4" name="KSOTemplateDocerSaveRecord">
    <vt:lpwstr>eyJoZGlkIjoiOWM2OWIyZmY5MDliOTBhNGRhYmE0NjU1N2VkZWEzYjgiLCJ1c2VySWQiOiI2MDg1NjEyMjIifQ==</vt:lpwstr>
  </property>
</Properties>
</file>